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168" w:lineRule="auto" w:before="228"/>
        <w:ind w:left="118" w:right="288" w:firstLine="0"/>
        <w:jc w:val="left"/>
        <w:rPr>
          <w:rFonts w:ascii="华文中宋" w:eastAsia="华文中宋" w:hint="eastAsia"/>
          <w:sz w:val="72"/>
        </w:rPr>
      </w:pPr>
      <w:r>
        <w:rPr>
          <w:rFonts w:ascii="华文中宋" w:eastAsia="华文中宋" w:hint="eastAsia"/>
          <w:color w:val="FF0000"/>
          <w:spacing w:val="-16"/>
          <w:w w:val="90"/>
          <w:sz w:val="72"/>
        </w:rPr>
        <w:t>中 华 医 学 会 医 学 教 育 分 会</w:t>
      </w:r>
      <w:r>
        <w:rPr>
          <w:rFonts w:ascii="华文中宋" w:eastAsia="华文中宋" w:hint="eastAsia"/>
          <w:color w:val="FF0000"/>
          <w:spacing w:val="-15"/>
          <w:w w:val="70"/>
          <w:sz w:val="72"/>
        </w:rPr>
        <w:t>中国高等教育学会医学教育专业委员会</w:t>
      </w:r>
    </w:p>
    <w:p>
      <w:pPr>
        <w:pStyle w:val="BodyText"/>
        <w:spacing w:before="660" w:after="17"/>
        <w:ind w:left="3093"/>
        <w:rPr>
          <w:rFonts w:ascii="仿宋" w:eastAsia="仿宋" w:hint="eastAsia"/>
        </w:rPr>
      </w:pPr>
      <w:r>
        <w:rPr>
          <w:rFonts w:ascii="仿宋" w:eastAsia="仿宋" w:hint="eastAsia"/>
        </w:rPr>
        <w:t>医教通字﹝2018﹞8 号</w:t>
      </w:r>
    </w:p>
    <w:p>
      <w:pPr>
        <w:pStyle w:val="BodyText"/>
        <w:spacing w:line="46" w:lineRule="exact"/>
        <w:ind w:left="-73"/>
        <w:rPr>
          <w:rFonts w:ascii="仿宋"/>
          <w:sz w:val="4"/>
        </w:rPr>
      </w:pPr>
      <w:r>
        <w:rPr>
          <w:rFonts w:ascii="仿宋"/>
          <w:position w:val="0"/>
          <w:sz w:val="4"/>
        </w:rPr>
        <w:pict>
          <v:group style="width:457pt;height:2.25pt;mso-position-horizontal-relative:char;mso-position-vertical-relative:line" coordorigin="0,0" coordsize="9140,45">
            <v:line style="position:absolute" from="0,23" to="9140,23" stroked="true" strokeweight="2.25pt" strokecolor="#ff0000">
              <v:stroke dashstyle="solid"/>
            </v:line>
          </v:group>
        </w:pict>
      </w:r>
      <w:r>
        <w:rPr>
          <w:rFonts w:ascii="仿宋"/>
          <w:position w:val="0"/>
          <w:sz w:val="4"/>
        </w:rPr>
      </w:r>
    </w:p>
    <w:p>
      <w:pPr>
        <w:pStyle w:val="BodyText"/>
        <w:ind w:left="0"/>
        <w:rPr>
          <w:rFonts w:ascii="仿宋"/>
        </w:rPr>
      </w:pPr>
    </w:p>
    <w:p>
      <w:pPr>
        <w:pStyle w:val="BodyText"/>
        <w:spacing w:before="3"/>
        <w:ind w:left="0"/>
        <w:rPr>
          <w:rFonts w:ascii="仿宋"/>
          <w:sz w:val="24"/>
        </w:rPr>
      </w:pPr>
    </w:p>
    <w:p>
      <w:pPr>
        <w:spacing w:line="206" w:lineRule="auto" w:before="0"/>
        <w:ind w:left="586" w:right="747" w:firstLine="0"/>
        <w:jc w:val="center"/>
        <w:rPr>
          <w:rFonts w:ascii="华文中宋" w:hAnsi="华文中宋" w:eastAsia="华文中宋" w:hint="eastAsia"/>
          <w:sz w:val="44"/>
        </w:rPr>
      </w:pPr>
      <w:r>
        <w:rPr>
          <w:rFonts w:ascii="华文中宋" w:hAnsi="华文中宋" w:eastAsia="华文中宋" w:hint="eastAsia"/>
          <w:sz w:val="44"/>
        </w:rPr>
        <w:t>关于举办“</w:t>
      </w:r>
      <w:r>
        <w:rPr>
          <w:rFonts w:ascii="华文中宋" w:hAnsi="华文中宋" w:eastAsia="华文中宋" w:hint="eastAsia"/>
          <w:b/>
          <w:sz w:val="44"/>
        </w:rPr>
        <w:t>2017</w:t>
      </w:r>
      <w:r>
        <w:rPr>
          <w:rFonts w:ascii="华文中宋" w:hAnsi="华文中宋" w:eastAsia="华文中宋" w:hint="eastAsia"/>
          <w:sz w:val="44"/>
        </w:rPr>
        <w:t>年度医学教育和医学教育管理百篇优秀论文”评选的通知</w:t>
      </w:r>
    </w:p>
    <w:p>
      <w:pPr>
        <w:pStyle w:val="BodyText"/>
        <w:spacing w:before="10"/>
        <w:ind w:left="0"/>
        <w:rPr>
          <w:rFonts w:ascii="华文中宋"/>
          <w:sz w:val="44"/>
        </w:rPr>
      </w:pPr>
    </w:p>
    <w:p>
      <w:pPr>
        <w:pStyle w:val="BodyText"/>
        <w:spacing w:before="1"/>
      </w:pPr>
      <w:r>
        <w:rPr/>
        <w:t>各有关高校(单位)：</w:t>
      </w:r>
    </w:p>
    <w:p>
      <w:pPr>
        <w:pStyle w:val="BodyText"/>
        <w:spacing w:line="350" w:lineRule="auto" w:before="190"/>
        <w:ind w:right="116" w:firstLine="640"/>
      </w:pPr>
      <w:r>
        <w:rPr/>
        <w:t>为集中反映我国医学教育研究成果、不断提高我国医学教育研究水平，中华医学会医学教育分会和中国高等教育学会医学教育专业委员会决定联合举办2017年度医学教育和医学教育管理百篇优秀论文评选活动。通过百篇优秀论文的评审，促进医学院校开展医学教育和医学教育管理的研究，推进医学教育和医学教育</w:t>
      </w:r>
      <w:r>
        <w:rPr>
          <w:spacing w:val="-6"/>
        </w:rPr>
        <w:t>管理改革建设的进程，实现医学教育和医学教育管理学科的建设。</w:t>
      </w:r>
      <w:r>
        <w:rPr/>
        <w:t>现将有关事项通知如下：</w:t>
      </w:r>
    </w:p>
    <w:p>
      <w:pPr>
        <w:pStyle w:val="BodyText"/>
        <w:spacing w:before="10"/>
        <w:ind w:left="759"/>
      </w:pPr>
      <w:r>
        <w:rPr/>
        <w:t>一、参选论文要求</w:t>
      </w:r>
    </w:p>
    <w:p>
      <w:pPr>
        <w:pStyle w:val="BodyText"/>
        <w:spacing w:line="350" w:lineRule="auto" w:before="190"/>
        <w:ind w:right="214" w:firstLine="640"/>
      </w:pPr>
      <w:r>
        <w:rPr/>
        <w:t>（1）2017年在国内外正式刊物上发表的医学教育论文（不含论文汇编中的论文和电子刊物中发表的论文）；</w:t>
      </w:r>
    </w:p>
    <w:p>
      <w:pPr>
        <w:pStyle w:val="ListParagraph"/>
        <w:numPr>
          <w:ilvl w:val="0"/>
          <w:numId w:val="1"/>
        </w:numPr>
        <w:tabs>
          <w:tab w:pos="1569" w:val="left" w:leader="none"/>
        </w:tabs>
        <w:spacing w:line="350" w:lineRule="auto" w:before="3" w:after="0"/>
        <w:ind w:left="118" w:right="122" w:firstLine="641"/>
        <w:jc w:val="left"/>
        <w:rPr>
          <w:sz w:val="32"/>
        </w:rPr>
      </w:pPr>
      <w:r>
        <w:rPr>
          <w:w w:val="95"/>
          <w:sz w:val="32"/>
        </w:rPr>
        <w:t>论文选题具有现实意义，反映了医学教育的重要问题， </w:t>
      </w:r>
      <w:r>
        <w:rPr>
          <w:sz w:val="32"/>
        </w:rPr>
        <w:t>体现了医学教育的发展趋势，主题鲜明，重点突出，内容真实， 信息丰富；</w:t>
      </w:r>
    </w:p>
    <w:p>
      <w:pPr>
        <w:spacing w:after="0" w:line="350" w:lineRule="auto"/>
        <w:jc w:val="left"/>
        <w:rPr>
          <w:sz w:val="32"/>
        </w:rPr>
        <w:sectPr>
          <w:type w:val="continuous"/>
          <w:pgSz w:w="11910" w:h="16840"/>
          <w:pgMar w:top="1240" w:bottom="280" w:left="1300" w:right="1140"/>
        </w:sectPr>
      </w:pPr>
    </w:p>
    <w:p>
      <w:pPr>
        <w:pStyle w:val="ListParagraph"/>
        <w:numPr>
          <w:ilvl w:val="0"/>
          <w:numId w:val="1"/>
        </w:numPr>
        <w:tabs>
          <w:tab w:pos="1560" w:val="left" w:leader="none"/>
        </w:tabs>
        <w:spacing w:line="350" w:lineRule="auto" w:before="40" w:after="0"/>
        <w:ind w:left="118" w:right="274" w:firstLine="641"/>
        <w:jc w:val="left"/>
        <w:rPr>
          <w:sz w:val="32"/>
        </w:rPr>
      </w:pPr>
      <w:r>
        <w:rPr>
          <w:spacing w:val="-5"/>
          <w:w w:val="95"/>
          <w:sz w:val="32"/>
        </w:rPr>
        <w:t>论文研究方法科学先进，概念正确，表述规范，论据充 </w:t>
      </w:r>
      <w:r>
        <w:rPr>
          <w:sz w:val="32"/>
        </w:rPr>
        <w:t>分，结论可靠；</w:t>
      </w:r>
    </w:p>
    <w:p>
      <w:pPr>
        <w:pStyle w:val="ListParagraph"/>
        <w:numPr>
          <w:ilvl w:val="0"/>
          <w:numId w:val="1"/>
        </w:numPr>
        <w:tabs>
          <w:tab w:pos="1560" w:val="left" w:leader="none"/>
        </w:tabs>
        <w:spacing w:line="350" w:lineRule="auto" w:before="3" w:after="0"/>
        <w:ind w:left="118" w:right="277" w:firstLine="641"/>
        <w:jc w:val="left"/>
        <w:rPr>
          <w:sz w:val="32"/>
        </w:rPr>
      </w:pPr>
      <w:r>
        <w:rPr>
          <w:spacing w:val="-4"/>
          <w:w w:val="95"/>
          <w:sz w:val="32"/>
        </w:rPr>
        <w:t>论文内容注重理论与实践相结合，富有新意和深度，具 </w:t>
      </w:r>
      <w:r>
        <w:rPr>
          <w:sz w:val="32"/>
        </w:rPr>
        <w:t>有参考价值和推广性；</w:t>
      </w:r>
    </w:p>
    <w:p>
      <w:pPr>
        <w:pStyle w:val="ListParagraph"/>
        <w:numPr>
          <w:ilvl w:val="0"/>
          <w:numId w:val="1"/>
        </w:numPr>
        <w:tabs>
          <w:tab w:pos="1569" w:val="left" w:leader="none"/>
        </w:tabs>
        <w:spacing w:line="350" w:lineRule="auto" w:before="3" w:after="0"/>
        <w:ind w:left="759" w:right="126" w:firstLine="0"/>
        <w:jc w:val="left"/>
        <w:rPr>
          <w:sz w:val="32"/>
        </w:rPr>
      </w:pPr>
      <w:r>
        <w:rPr>
          <w:w w:val="95"/>
          <w:sz w:val="32"/>
        </w:rPr>
        <w:t>论文编辑质量优良，结构适宜，逻辑合理，语言流畅。 </w:t>
      </w:r>
      <w:r>
        <w:rPr>
          <w:sz w:val="32"/>
        </w:rPr>
        <w:t>二、参选论文申报</w:t>
      </w:r>
    </w:p>
    <w:p>
      <w:pPr>
        <w:pStyle w:val="BodyText"/>
        <w:spacing w:line="350" w:lineRule="auto" w:before="3"/>
        <w:ind w:right="276" w:firstLine="640"/>
        <w:jc w:val="both"/>
      </w:pPr>
      <w:r>
        <w:rPr>
          <w:spacing w:val="27"/>
        </w:rPr>
        <w:t>参选</w:t>
      </w:r>
      <w:r>
        <w:rPr/>
        <w:t>2017</w:t>
      </w:r>
      <w:r>
        <w:rPr>
          <w:spacing w:val="-12"/>
        </w:rPr>
        <w:t> 年度医学教育和医学教育管理百篇优秀论文以学校</w:t>
      </w:r>
      <w:r>
        <w:rPr>
          <w:spacing w:val="4"/>
          <w:w w:val="95"/>
        </w:rPr>
        <w:t>或附属（教学）医院为单位申报，每所学校或附属（教学）</w:t>
      </w:r>
      <w:r>
        <w:rPr>
          <w:spacing w:val="3"/>
          <w:w w:val="95"/>
        </w:rPr>
        <w:t>医院 </w:t>
      </w:r>
      <w:r>
        <w:rPr>
          <w:spacing w:val="-6"/>
        </w:rPr>
        <w:t>参选论文数量限定在 </w:t>
      </w:r>
      <w:r>
        <w:rPr/>
        <w:t>15</w:t>
      </w:r>
      <w:r>
        <w:rPr>
          <w:spacing w:val="-12"/>
        </w:rPr>
        <w:t> 篇以内。请将参选论文的有关情况填写在</w:t>
      </w:r>
      <w:r>
        <w:rPr>
          <w:spacing w:val="4"/>
          <w:w w:val="95"/>
        </w:rPr>
        <w:t>申报表（见附件）</w:t>
      </w:r>
      <w:r>
        <w:rPr>
          <w:spacing w:val="3"/>
          <w:w w:val="95"/>
        </w:rPr>
        <w:t>上并加盖单位公章。每篇参评论文纸质版需提 </w:t>
      </w:r>
      <w:r>
        <w:rPr>
          <w:spacing w:val="-5"/>
        </w:rPr>
        <w:t>交一式 </w:t>
      </w:r>
      <w:r>
        <w:rPr/>
        <w:t>2</w:t>
      </w:r>
      <w:r>
        <w:rPr>
          <w:spacing w:val="-6"/>
        </w:rPr>
        <w:t> 份，包括杂志封面、目录和全文</w:t>
      </w:r>
      <w:r>
        <w:rPr/>
        <w:t>（复印件），</w:t>
      </w:r>
      <w:r>
        <w:rPr>
          <w:spacing w:val="-3"/>
        </w:rPr>
        <w:t>参评论文</w:t>
      </w:r>
      <w:r>
        <w:rPr>
          <w:spacing w:val="3"/>
          <w:w w:val="95"/>
        </w:rPr>
        <w:t>电子版和优秀论文评选申报汇总表亦需发送学术部联系人电子信 </w:t>
      </w:r>
      <w:r>
        <w:rPr>
          <w:spacing w:val="3"/>
        </w:rPr>
        <w:t>箱。</w:t>
      </w:r>
    </w:p>
    <w:p>
      <w:pPr>
        <w:pStyle w:val="BodyText"/>
        <w:spacing w:before="10"/>
        <w:ind w:left="759"/>
      </w:pPr>
      <w:r>
        <w:rPr/>
        <w:t>三、参选论文评审费</w:t>
      </w:r>
    </w:p>
    <w:p>
      <w:pPr>
        <w:pStyle w:val="BodyText"/>
        <w:spacing w:line="350" w:lineRule="auto" w:before="190"/>
        <w:ind w:right="123" w:firstLine="640"/>
      </w:pPr>
      <w:r>
        <w:rPr/>
        <w:t>每篇参评论文需缴纳100</w:t>
      </w:r>
      <w:r>
        <w:rPr>
          <w:spacing w:val="-7"/>
        </w:rPr>
        <w:t>元评审费。评审费请汇至学会学术部挂靠单位锦州医科大学。户名：锦州医科大学；开户行：锦州银</w:t>
      </w:r>
      <w:r>
        <w:rPr>
          <w:spacing w:val="-19"/>
        </w:rPr>
        <w:t>行凌云支行</w:t>
      </w:r>
      <w:r>
        <w:rPr/>
        <w:t>（</w:t>
      </w:r>
      <w:r>
        <w:rPr>
          <w:spacing w:val="-5"/>
        </w:rPr>
        <w:t>行号：</w:t>
      </w:r>
      <w:r>
        <w:rPr>
          <w:spacing w:val="-13"/>
        </w:rPr>
        <w:t>313227000029）</w:t>
      </w:r>
      <w:r>
        <w:rPr>
          <w:spacing w:val="-6"/>
        </w:rPr>
        <w:t>；账号：</w:t>
      </w:r>
      <w:r>
        <w:rPr>
          <w:spacing w:val="-8"/>
        </w:rPr>
        <w:t>400000305409016</w:t>
      </w:r>
      <w:r>
        <w:rPr>
          <w:spacing w:val="-34"/>
        </w:rPr>
        <w:t>”。</w:t>
      </w:r>
      <w:r>
        <w:rPr/>
        <w:t>汇款时请务必注明“单位名称”及“医教所课题评审费”字样。请参评单位统一汇款，恕不接受个人汇款。收到评审费后学会将及时寄回由锦州医科大学财务部门出具的发票。开具发票时需要缴费单位提供如下信息：</w:t>
      </w:r>
      <w:r>
        <w:rPr>
          <w:spacing w:val="4"/>
        </w:rPr>
        <w:t>（1）</w:t>
      </w:r>
      <w:r>
        <w:rPr>
          <w:spacing w:val="3"/>
        </w:rPr>
        <w:t>单位名称、单位地址、联系电话；</w:t>
      </w:r>
    </w:p>
    <w:p>
      <w:pPr>
        <w:pStyle w:val="BodyText"/>
        <w:spacing w:line="350" w:lineRule="auto" w:before="11"/>
        <w:ind w:right="275"/>
      </w:pPr>
      <w:r>
        <w:rPr>
          <w:w w:val="95"/>
        </w:rPr>
        <w:t>（2）</w:t>
      </w:r>
      <w:r>
        <w:rPr>
          <w:spacing w:val="-1"/>
          <w:w w:val="95"/>
        </w:rPr>
        <w:t>纳税人识别号；</w:t>
      </w:r>
      <w:r>
        <w:rPr>
          <w:spacing w:val="-6"/>
          <w:w w:val="95"/>
        </w:rPr>
        <w:t>（3）</w:t>
      </w:r>
      <w:r>
        <w:rPr>
          <w:spacing w:val="-1"/>
          <w:w w:val="95"/>
        </w:rPr>
        <w:t>开户行及账号；</w:t>
      </w:r>
      <w:r>
        <w:rPr>
          <w:spacing w:val="-5"/>
          <w:w w:val="95"/>
        </w:rPr>
        <w:t>（4）</w:t>
      </w:r>
      <w:r>
        <w:rPr>
          <w:w w:val="95"/>
        </w:rPr>
        <w:t>发票邮寄地址及 </w:t>
      </w:r>
      <w:r>
        <w:rPr/>
        <w:t>联系人信息。</w:t>
      </w:r>
    </w:p>
    <w:p>
      <w:pPr>
        <w:spacing w:after="0" w:line="350" w:lineRule="auto"/>
        <w:sectPr>
          <w:pgSz w:w="11910" w:h="16840"/>
          <w:pgMar w:top="1520" w:bottom="280" w:left="1300" w:right="1140"/>
        </w:sectPr>
      </w:pPr>
    </w:p>
    <w:p>
      <w:pPr>
        <w:pStyle w:val="BodyText"/>
        <w:spacing w:before="40"/>
        <w:ind w:left="759"/>
      </w:pPr>
      <w:r>
        <w:rPr/>
        <w:t>四、参选论文评选</w:t>
      </w:r>
    </w:p>
    <w:p>
      <w:pPr>
        <w:pStyle w:val="BodyText"/>
        <w:spacing w:line="350" w:lineRule="auto" w:before="190"/>
        <w:ind w:right="384" w:firstLine="640"/>
        <w:jc w:val="both"/>
      </w:pPr>
      <w:r>
        <w:rPr/>
        <w:t>学会将组成评审组通过网评和会评从申报论文中评选出2017 年度百篇医学教育优秀论文，评选结果将在年末举行的全国医学教育学术会议上公布，并举行颁奖仪式。</w:t>
      </w:r>
    </w:p>
    <w:p>
      <w:pPr>
        <w:pStyle w:val="BodyText"/>
        <w:spacing w:before="4"/>
        <w:ind w:left="759"/>
      </w:pPr>
      <w:r>
        <w:rPr/>
        <w:t>五、参选论文申报截止日期</w:t>
      </w:r>
    </w:p>
    <w:p>
      <w:pPr>
        <w:pStyle w:val="BodyText"/>
        <w:spacing w:line="350" w:lineRule="auto" w:before="190"/>
        <w:ind w:right="385" w:firstLine="640"/>
        <w:jc w:val="both"/>
      </w:pPr>
      <w:r>
        <w:rPr>
          <w:w w:val="95"/>
        </w:rPr>
        <w:t>参选论文申报截止日期为2018年9月5日。请参选单位将申报 </w:t>
      </w:r>
      <w:r>
        <w:rPr>
          <w:spacing w:val="-1"/>
        </w:rPr>
        <w:t>表、参选论文及评审费于申报截止日期前分别邮寄和汇至学会学术部联系人处。务请注明参选单位有关联系人的详细联系方式， </w:t>
      </w:r>
      <w:r>
        <w:rPr/>
        <w:t>以保证随时能够进行沟通。</w:t>
      </w:r>
    </w:p>
    <w:p>
      <w:pPr>
        <w:pStyle w:val="BodyText"/>
        <w:spacing w:before="6"/>
        <w:ind w:left="759"/>
      </w:pPr>
      <w:r>
        <w:rPr>
          <w:w w:val="95"/>
        </w:rPr>
        <w:t>六、学会学术部联系人</w:t>
      </w:r>
    </w:p>
    <w:p>
      <w:pPr>
        <w:pStyle w:val="BodyText"/>
        <w:spacing w:line="350" w:lineRule="auto" w:before="190"/>
        <w:ind w:right="273" w:firstLine="640"/>
        <w:jc w:val="both"/>
      </w:pPr>
      <w:r>
        <w:rPr>
          <w:spacing w:val="-36"/>
          <w:w w:val="99"/>
        </w:rPr>
        <w:t>学术部联系人：赵婷、张挺、李红玉；联系电话：</w:t>
      </w:r>
      <w:r>
        <w:rPr>
          <w:spacing w:val="-2"/>
          <w:w w:val="99"/>
        </w:rPr>
        <w:t>1</w:t>
      </w:r>
      <w:r>
        <w:rPr>
          <w:w w:val="99"/>
        </w:rPr>
        <w:t>86</w:t>
      </w:r>
      <w:r>
        <w:rPr>
          <w:spacing w:val="-2"/>
          <w:w w:val="99"/>
        </w:rPr>
        <w:t>40</w:t>
      </w:r>
      <w:r>
        <w:rPr>
          <w:w w:val="99"/>
        </w:rPr>
        <w:t>648</w:t>
      </w:r>
      <w:r>
        <w:rPr>
          <w:spacing w:val="-2"/>
          <w:w w:val="99"/>
        </w:rPr>
        <w:t>8</w:t>
      </w:r>
      <w:r>
        <w:rPr>
          <w:w w:val="99"/>
        </w:rPr>
        <w:t>0</w:t>
      </w:r>
      <w:r>
        <w:rPr>
          <w:spacing w:val="1"/>
          <w:w w:val="99"/>
        </w:rPr>
        <w:t>8</w:t>
      </w:r>
      <w:r>
        <w:rPr>
          <w:w w:val="99"/>
        </w:rPr>
        <w:t>， </w:t>
      </w:r>
      <w:r>
        <w:rPr>
          <w:spacing w:val="-11"/>
        </w:rPr>
        <w:t>13940627068，0416-4673107</w:t>
      </w:r>
      <w:r>
        <w:rPr>
          <w:spacing w:val="-4"/>
        </w:rPr>
        <w:t>；电子信箱：</w:t>
      </w:r>
      <w:hyperlink r:id="rId5">
        <w:r>
          <w:rPr>
            <w:spacing w:val="-6"/>
          </w:rPr>
          <w:t>jmu_xueshubu@163.com</w:t>
        </w:r>
      </w:hyperlink>
      <w:r>
        <w:rPr>
          <w:spacing w:val="-6"/>
        </w:rPr>
        <w:t>； </w:t>
      </w:r>
      <w:r>
        <w:rPr>
          <w:spacing w:val="-7"/>
        </w:rPr>
        <w:t>通信地址：锦州医科大学医学教育研究所</w:t>
      </w:r>
      <w:r>
        <w:rPr/>
        <w:t>（辽宁省锦州市松坡路</w:t>
      </w:r>
      <w:r>
        <w:rPr>
          <w:spacing w:val="-15"/>
        </w:rPr>
        <w:t>3 </w:t>
      </w:r>
      <w:r>
        <w:rPr/>
        <w:t>段40号）；邮政编码：121001。</w:t>
      </w:r>
    </w:p>
    <w:p>
      <w:pPr>
        <w:pStyle w:val="BodyText"/>
        <w:spacing w:line="350" w:lineRule="auto" w:before="7"/>
        <w:ind w:right="387" w:firstLine="640"/>
        <w:jc w:val="both"/>
      </w:pPr>
      <w:r>
        <w:rPr/>
        <w:drawing>
          <wp:anchor distT="0" distB="0" distL="0" distR="0" allowOverlap="1" layoutInCell="1" locked="0" behindDoc="1" simplePos="0" relativeHeight="268432751">
            <wp:simplePos x="0" y="0"/>
            <wp:positionH relativeFrom="page">
              <wp:posOffset>4298950</wp:posOffset>
            </wp:positionH>
            <wp:positionV relativeFrom="paragraph">
              <wp:posOffset>1174876</wp:posOffset>
            </wp:positionV>
            <wp:extent cx="1706626" cy="176085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706626" cy="1760855"/>
                    </a:xfrm>
                    <a:prstGeom prst="rect">
                      <a:avLst/>
                    </a:prstGeom>
                  </pic:spPr>
                </pic:pic>
              </a:graphicData>
            </a:graphic>
          </wp:anchor>
        </w:drawing>
      </w:r>
      <w:r>
        <w:rPr/>
        <w:drawing>
          <wp:anchor distT="0" distB="0" distL="0" distR="0" allowOverlap="1" layoutInCell="1" locked="0" behindDoc="1" simplePos="0" relativeHeight="268432775">
            <wp:simplePos x="0" y="0"/>
            <wp:positionH relativeFrom="page">
              <wp:posOffset>1235710</wp:posOffset>
            </wp:positionH>
            <wp:positionV relativeFrom="paragraph">
              <wp:posOffset>1176781</wp:posOffset>
            </wp:positionV>
            <wp:extent cx="1761998" cy="168719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761998" cy="1687195"/>
                    </a:xfrm>
                    <a:prstGeom prst="rect">
                      <a:avLst/>
                    </a:prstGeom>
                  </pic:spPr>
                </pic:pic>
              </a:graphicData>
            </a:graphic>
          </wp:anchor>
        </w:drawing>
      </w:r>
      <w:r>
        <w:rPr/>
        <w:t>烦请学会委员和理事组织所在单位积极参加评选，共同为提高我国医学教育研究水平和医学教育教学质量做出贡献。</w:t>
      </w:r>
    </w:p>
    <w:p>
      <w:pPr>
        <w:pStyle w:val="BodyText"/>
        <w:ind w:left="0"/>
      </w:pPr>
    </w:p>
    <w:p>
      <w:pPr>
        <w:pStyle w:val="BodyText"/>
        <w:ind w:left="0"/>
      </w:pPr>
    </w:p>
    <w:p>
      <w:pPr>
        <w:pStyle w:val="BodyText"/>
        <w:ind w:left="0"/>
      </w:pPr>
    </w:p>
    <w:p>
      <w:pPr>
        <w:pStyle w:val="BodyText"/>
        <w:spacing w:before="2"/>
        <w:ind w:left="0"/>
        <w:rPr>
          <w:sz w:val="44"/>
        </w:rPr>
      </w:pPr>
    </w:p>
    <w:p>
      <w:pPr>
        <w:pStyle w:val="BodyText"/>
        <w:tabs>
          <w:tab w:pos="4148" w:val="left" w:leader="none"/>
        </w:tabs>
        <w:ind w:left="538"/>
        <w:rPr>
          <w:rFonts w:ascii="仿宋" w:eastAsia="仿宋" w:hint="eastAsia"/>
        </w:rPr>
      </w:pPr>
      <w:r>
        <w:rPr>
          <w:rFonts w:ascii="仿宋" w:eastAsia="仿宋" w:hint="eastAsia"/>
          <w:spacing w:val="4"/>
          <w:w w:val="95"/>
        </w:rPr>
        <w:t>中</w:t>
      </w:r>
      <w:r>
        <w:rPr>
          <w:rFonts w:ascii="仿宋" w:eastAsia="仿宋" w:hint="eastAsia"/>
          <w:w w:val="95"/>
        </w:rPr>
        <w:t>华</w:t>
      </w:r>
      <w:r>
        <w:rPr>
          <w:rFonts w:ascii="仿宋" w:eastAsia="仿宋" w:hint="eastAsia"/>
          <w:spacing w:val="4"/>
          <w:w w:val="95"/>
        </w:rPr>
        <w:t>医学会医</w:t>
      </w:r>
      <w:r>
        <w:rPr>
          <w:rFonts w:ascii="仿宋" w:eastAsia="仿宋" w:hint="eastAsia"/>
          <w:w w:val="95"/>
        </w:rPr>
        <w:t>学</w:t>
      </w:r>
      <w:r>
        <w:rPr>
          <w:rFonts w:ascii="仿宋" w:eastAsia="仿宋" w:hint="eastAsia"/>
          <w:spacing w:val="4"/>
          <w:w w:val="95"/>
        </w:rPr>
        <w:t>教育分</w:t>
      </w:r>
      <w:r>
        <w:rPr>
          <w:rFonts w:ascii="仿宋" w:eastAsia="仿宋" w:hint="eastAsia"/>
          <w:w w:val="95"/>
        </w:rPr>
        <w:t>会</w:t>
        <w:tab/>
      </w:r>
      <w:r>
        <w:rPr>
          <w:rFonts w:ascii="仿宋" w:eastAsia="仿宋" w:hint="eastAsia"/>
          <w:w w:val="90"/>
        </w:rPr>
        <w:t>中</w:t>
      </w:r>
      <w:r>
        <w:rPr>
          <w:rFonts w:ascii="仿宋" w:eastAsia="仿宋" w:hint="eastAsia"/>
          <w:spacing w:val="4"/>
          <w:w w:val="90"/>
        </w:rPr>
        <w:t>国</w:t>
      </w:r>
      <w:r>
        <w:rPr>
          <w:rFonts w:ascii="仿宋" w:eastAsia="仿宋" w:hint="eastAsia"/>
          <w:w w:val="90"/>
        </w:rPr>
        <w:t>高</w:t>
      </w:r>
      <w:r>
        <w:rPr>
          <w:rFonts w:ascii="仿宋" w:eastAsia="仿宋" w:hint="eastAsia"/>
          <w:spacing w:val="4"/>
          <w:w w:val="90"/>
        </w:rPr>
        <w:t>等</w:t>
      </w:r>
      <w:r>
        <w:rPr>
          <w:rFonts w:ascii="仿宋" w:eastAsia="仿宋" w:hint="eastAsia"/>
          <w:spacing w:val="5"/>
          <w:w w:val="90"/>
        </w:rPr>
        <w:t>教</w:t>
      </w:r>
      <w:r>
        <w:rPr>
          <w:rFonts w:ascii="仿宋" w:eastAsia="仿宋" w:hint="eastAsia"/>
          <w:w w:val="90"/>
        </w:rPr>
        <w:t>育</w:t>
      </w:r>
      <w:r>
        <w:rPr>
          <w:rFonts w:ascii="仿宋" w:eastAsia="仿宋" w:hint="eastAsia"/>
          <w:spacing w:val="4"/>
          <w:w w:val="90"/>
        </w:rPr>
        <w:t>学</w:t>
      </w:r>
      <w:r>
        <w:rPr>
          <w:rFonts w:ascii="仿宋" w:eastAsia="仿宋" w:hint="eastAsia"/>
          <w:w w:val="90"/>
        </w:rPr>
        <w:t>会</w:t>
      </w:r>
      <w:r>
        <w:rPr>
          <w:rFonts w:ascii="仿宋" w:eastAsia="仿宋" w:hint="eastAsia"/>
          <w:spacing w:val="4"/>
          <w:w w:val="90"/>
        </w:rPr>
        <w:t>医</w:t>
      </w:r>
      <w:r>
        <w:rPr>
          <w:rFonts w:ascii="仿宋" w:eastAsia="仿宋" w:hint="eastAsia"/>
          <w:w w:val="90"/>
        </w:rPr>
        <w:t>学</w:t>
      </w:r>
      <w:r>
        <w:rPr>
          <w:rFonts w:ascii="仿宋" w:eastAsia="仿宋" w:hint="eastAsia"/>
          <w:spacing w:val="4"/>
          <w:w w:val="90"/>
        </w:rPr>
        <w:t>教</w:t>
      </w:r>
      <w:r>
        <w:rPr>
          <w:rFonts w:ascii="仿宋" w:eastAsia="仿宋" w:hint="eastAsia"/>
          <w:w w:val="90"/>
        </w:rPr>
        <w:t>育</w:t>
      </w:r>
      <w:r>
        <w:rPr>
          <w:rFonts w:ascii="仿宋" w:eastAsia="仿宋" w:hint="eastAsia"/>
          <w:spacing w:val="4"/>
          <w:w w:val="90"/>
        </w:rPr>
        <w:t>专业</w:t>
      </w:r>
      <w:r>
        <w:rPr>
          <w:rFonts w:ascii="仿宋" w:eastAsia="仿宋" w:hint="eastAsia"/>
          <w:w w:val="90"/>
        </w:rPr>
        <w:t>委</w:t>
      </w:r>
      <w:r>
        <w:rPr>
          <w:rFonts w:ascii="仿宋" w:eastAsia="仿宋" w:hint="eastAsia"/>
          <w:spacing w:val="4"/>
          <w:w w:val="90"/>
        </w:rPr>
        <w:t>员</w:t>
      </w:r>
      <w:r>
        <w:rPr>
          <w:rFonts w:ascii="仿宋" w:eastAsia="仿宋" w:hint="eastAsia"/>
          <w:w w:val="90"/>
        </w:rPr>
        <w:t>会</w:t>
      </w:r>
    </w:p>
    <w:p>
      <w:pPr>
        <w:pStyle w:val="BodyText"/>
        <w:spacing w:before="214"/>
        <w:ind w:left="5402"/>
        <w:rPr>
          <w:rFonts w:ascii="仿宋" w:eastAsia="仿宋" w:hint="eastAsia"/>
        </w:rPr>
      </w:pPr>
      <w:r>
        <w:rPr>
          <w:rFonts w:ascii="仿宋" w:eastAsia="仿宋" w:hint="eastAsia"/>
        </w:rPr>
        <w:t>2018</w:t>
      </w:r>
      <w:r>
        <w:rPr>
          <w:rFonts w:ascii="仿宋" w:eastAsia="仿宋" w:hint="eastAsia"/>
          <w:spacing w:val="-54"/>
        </w:rPr>
        <w:t> 年 </w:t>
      </w:r>
      <w:r>
        <w:rPr>
          <w:rFonts w:ascii="仿宋" w:eastAsia="仿宋" w:hint="eastAsia"/>
        </w:rPr>
        <w:t>7</w:t>
      </w:r>
      <w:r>
        <w:rPr>
          <w:rFonts w:ascii="仿宋" w:eastAsia="仿宋" w:hint="eastAsia"/>
          <w:spacing w:val="-54"/>
        </w:rPr>
        <w:t> 月 </w:t>
      </w:r>
      <w:r>
        <w:rPr>
          <w:rFonts w:ascii="仿宋" w:eastAsia="仿宋" w:hint="eastAsia"/>
        </w:rPr>
        <w:t>11</w:t>
      </w:r>
      <w:r>
        <w:rPr>
          <w:rFonts w:ascii="仿宋" w:eastAsia="仿宋" w:hint="eastAsia"/>
          <w:spacing w:val="-40"/>
        </w:rPr>
        <w:t> 日</w:t>
      </w:r>
    </w:p>
    <w:sectPr>
      <w:pgSz w:w="11910" w:h="16840"/>
      <w:pgMar w:top="1520" w:bottom="280" w:left="130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华文中宋">
    <w:altName w:val="华文中宋"/>
    <w:charset w:val="86"/>
    <w:family w:val="auto"/>
    <w:pitch w:val="variable"/>
  </w:font>
  <w:font w:name="仿宋">
    <w:altName w:val="仿宋"/>
    <w:charset w:val="86"/>
    <w:family w:val="modern"/>
    <w:pitch w:val="fixed"/>
  </w:font>
  <w:font w:name="仿宋_GB2312">
    <w:altName w:val="仿宋_GB2312"/>
    <w:charset w:val="86"/>
    <w:family w:val="modern"/>
    <w:pitch w:val="fixed"/>
  </w:font>
  <w:font w:name="宋体">
    <w:altName w:val="宋体"/>
    <w:charset w:val="86"/>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118" w:hanging="809"/>
        <w:jc w:val="left"/>
      </w:pPr>
      <w:rPr>
        <w:rFonts w:hint="default" w:ascii="仿宋_GB2312" w:hAnsi="仿宋_GB2312" w:eastAsia="仿宋_GB2312" w:cs="仿宋_GB2312"/>
        <w:spacing w:val="1"/>
        <w:w w:val="99"/>
        <w:sz w:val="30"/>
        <w:szCs w:val="30"/>
        <w:lang w:val="zh-CN" w:eastAsia="zh-CN" w:bidi="zh-CN"/>
      </w:rPr>
    </w:lvl>
    <w:lvl w:ilvl="1">
      <w:start w:val="0"/>
      <w:numFmt w:val="bullet"/>
      <w:lvlText w:val="•"/>
      <w:lvlJc w:val="left"/>
      <w:pPr>
        <w:ind w:left="1054" w:hanging="809"/>
      </w:pPr>
      <w:rPr>
        <w:rFonts w:hint="default"/>
        <w:lang w:val="zh-CN" w:eastAsia="zh-CN" w:bidi="zh-CN"/>
      </w:rPr>
    </w:lvl>
    <w:lvl w:ilvl="2">
      <w:start w:val="0"/>
      <w:numFmt w:val="bullet"/>
      <w:lvlText w:val="•"/>
      <w:lvlJc w:val="left"/>
      <w:pPr>
        <w:ind w:left="1989" w:hanging="809"/>
      </w:pPr>
      <w:rPr>
        <w:rFonts w:hint="default"/>
        <w:lang w:val="zh-CN" w:eastAsia="zh-CN" w:bidi="zh-CN"/>
      </w:rPr>
    </w:lvl>
    <w:lvl w:ilvl="3">
      <w:start w:val="0"/>
      <w:numFmt w:val="bullet"/>
      <w:lvlText w:val="•"/>
      <w:lvlJc w:val="left"/>
      <w:pPr>
        <w:ind w:left="2923" w:hanging="809"/>
      </w:pPr>
      <w:rPr>
        <w:rFonts w:hint="default"/>
        <w:lang w:val="zh-CN" w:eastAsia="zh-CN" w:bidi="zh-CN"/>
      </w:rPr>
    </w:lvl>
    <w:lvl w:ilvl="4">
      <w:start w:val="0"/>
      <w:numFmt w:val="bullet"/>
      <w:lvlText w:val="•"/>
      <w:lvlJc w:val="left"/>
      <w:pPr>
        <w:ind w:left="3858" w:hanging="809"/>
      </w:pPr>
      <w:rPr>
        <w:rFonts w:hint="default"/>
        <w:lang w:val="zh-CN" w:eastAsia="zh-CN" w:bidi="zh-CN"/>
      </w:rPr>
    </w:lvl>
    <w:lvl w:ilvl="5">
      <w:start w:val="0"/>
      <w:numFmt w:val="bullet"/>
      <w:lvlText w:val="•"/>
      <w:lvlJc w:val="left"/>
      <w:pPr>
        <w:ind w:left="4793" w:hanging="809"/>
      </w:pPr>
      <w:rPr>
        <w:rFonts w:hint="default"/>
        <w:lang w:val="zh-CN" w:eastAsia="zh-CN" w:bidi="zh-CN"/>
      </w:rPr>
    </w:lvl>
    <w:lvl w:ilvl="6">
      <w:start w:val="0"/>
      <w:numFmt w:val="bullet"/>
      <w:lvlText w:val="•"/>
      <w:lvlJc w:val="left"/>
      <w:pPr>
        <w:ind w:left="5727" w:hanging="809"/>
      </w:pPr>
      <w:rPr>
        <w:rFonts w:hint="default"/>
        <w:lang w:val="zh-CN" w:eastAsia="zh-CN" w:bidi="zh-CN"/>
      </w:rPr>
    </w:lvl>
    <w:lvl w:ilvl="7">
      <w:start w:val="0"/>
      <w:numFmt w:val="bullet"/>
      <w:lvlText w:val="•"/>
      <w:lvlJc w:val="left"/>
      <w:pPr>
        <w:ind w:left="6662" w:hanging="809"/>
      </w:pPr>
      <w:rPr>
        <w:rFonts w:hint="default"/>
        <w:lang w:val="zh-CN" w:eastAsia="zh-CN" w:bidi="zh-CN"/>
      </w:rPr>
    </w:lvl>
    <w:lvl w:ilvl="8">
      <w:start w:val="0"/>
      <w:numFmt w:val="bullet"/>
      <w:lvlText w:val="•"/>
      <w:lvlJc w:val="left"/>
      <w:pPr>
        <w:ind w:left="7597" w:hanging="80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BodyText" w:type="paragraph">
    <w:name w:val="Body Text"/>
    <w:basedOn w:val="Normal"/>
    <w:uiPriority w:val="1"/>
    <w:qFormat/>
    <w:pPr>
      <w:ind w:left="118"/>
    </w:pPr>
    <w:rPr>
      <w:rFonts w:ascii="仿宋_GB2312" w:hAnsi="仿宋_GB2312" w:eastAsia="仿宋_GB2312" w:cs="仿宋_GB2312"/>
      <w:sz w:val="32"/>
      <w:szCs w:val="32"/>
      <w:lang w:val="zh-CN" w:eastAsia="zh-CN" w:bidi="zh-CN"/>
    </w:rPr>
  </w:style>
  <w:style w:styleId="ListParagraph" w:type="paragraph">
    <w:name w:val="List Paragraph"/>
    <w:basedOn w:val="Normal"/>
    <w:uiPriority w:val="1"/>
    <w:qFormat/>
    <w:pPr>
      <w:spacing w:before="3"/>
      <w:ind w:left="118" w:right="122" w:firstLine="641"/>
    </w:pPr>
    <w:rPr>
      <w:rFonts w:ascii="仿宋_GB2312" w:hAnsi="仿宋_GB2312" w:eastAsia="仿宋_GB2312" w:cs="仿宋_GB2312"/>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mu_xueshubu@163.com" TargetMode="Externa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dcterms:created xsi:type="dcterms:W3CDTF">2018-07-19T08:47:15Z</dcterms:created>
  <dcterms:modified xsi:type="dcterms:W3CDTF">2018-07-19T08:47:15Z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2018-07-11T00:00:00Z</vt:filetime>
  </property>
  <property fmtid="{D5CDD505-2E9C-101B-9397-08002B2CF9AE}" pid="3" name="Creator">
    <vt:lpwstr>Microsoft® Word 2010</vt:lpwstr>
  </property>
  <property fmtid="{D5CDD505-2E9C-101B-9397-08002B2CF9AE}" pid="4" name="LastSaved">
    <vt:filetime>2018-07-19T00:00:00Z</vt:filetime>
  </property>
</Properties>
</file>