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2577" w:type="dxa"/>
        <w:jc w:val="center"/>
        <w:tblInd w:w="-1631" w:type="dxa"/>
        <w:tblLayout w:type="fixed"/>
        <w:tblCellMar>
          <w:top w:w="0" w:type="dxa"/>
          <w:left w:w="108" w:type="dxa"/>
          <w:bottom w:w="0" w:type="dxa"/>
          <w:right w:w="108" w:type="dxa"/>
        </w:tblCellMar>
      </w:tblPr>
      <w:tblGrid>
        <w:gridCol w:w="1147"/>
        <w:gridCol w:w="2304"/>
        <w:gridCol w:w="1632"/>
        <w:gridCol w:w="1368"/>
        <w:gridCol w:w="6126"/>
      </w:tblGrid>
      <w:tr>
        <w:tblPrEx>
          <w:tblLayout w:type="fixed"/>
          <w:tblCellMar>
            <w:top w:w="0" w:type="dxa"/>
            <w:left w:w="108" w:type="dxa"/>
            <w:bottom w:w="0" w:type="dxa"/>
            <w:right w:w="108" w:type="dxa"/>
          </w:tblCellMar>
        </w:tblPrEx>
        <w:trPr>
          <w:trHeight w:val="270" w:hRule="atLeast"/>
          <w:jc w:val="center"/>
        </w:trPr>
        <w:tc>
          <w:tcPr>
            <w:tcW w:w="12577" w:type="dxa"/>
            <w:gridSpan w:val="5"/>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p>
            <w:pPr>
              <w:widowControl/>
              <w:tabs>
                <w:tab w:val="left" w:pos="4423"/>
              </w:tabs>
              <w:jc w:val="center"/>
              <w:rPr>
                <w:rFonts w:hint="eastAsia" w:ascii="宋体" w:hAnsi="宋体" w:eastAsia="宋体" w:cs="宋体"/>
                <w:color w:val="000000"/>
                <w:kern w:val="0"/>
                <w:sz w:val="22"/>
                <w:szCs w:val="22"/>
                <w:lang w:eastAsia="zh-CN"/>
              </w:rPr>
            </w:pPr>
            <w:r>
              <w:rPr>
                <w:rFonts w:hint="eastAsia" w:ascii="宋体" w:hAnsi="宋体" w:cs="宋体"/>
                <w:b/>
                <w:bCs/>
                <w:color w:val="000000"/>
                <w:kern w:val="0"/>
                <w:sz w:val="32"/>
                <w:szCs w:val="32"/>
                <w:lang w:eastAsia="zh-CN"/>
              </w:rPr>
              <w:t>广州医科大学201</w:t>
            </w:r>
            <w:r>
              <w:rPr>
                <w:rFonts w:hint="eastAsia" w:ascii="宋体" w:hAnsi="宋体" w:cs="宋体"/>
                <w:b/>
                <w:bCs/>
                <w:color w:val="000000"/>
                <w:kern w:val="0"/>
                <w:sz w:val="32"/>
                <w:szCs w:val="32"/>
                <w:lang w:val="en-US" w:eastAsia="zh-CN"/>
              </w:rPr>
              <w:t>7</w:t>
            </w:r>
            <w:r>
              <w:rPr>
                <w:rFonts w:hint="eastAsia" w:ascii="宋体" w:hAnsi="宋体" w:cs="宋体"/>
                <w:b/>
                <w:bCs/>
                <w:color w:val="000000"/>
                <w:kern w:val="0"/>
                <w:sz w:val="32"/>
                <w:szCs w:val="32"/>
                <w:lang w:eastAsia="zh-CN"/>
              </w:rPr>
              <w:t>届优秀毕业论文（设计）及指导教师名单</w:t>
            </w:r>
          </w:p>
        </w:tc>
      </w:tr>
      <w:tr>
        <w:tblPrEx>
          <w:tblLayout w:type="fixed"/>
          <w:tblCellMar>
            <w:top w:w="0" w:type="dxa"/>
            <w:left w:w="108" w:type="dxa"/>
            <w:bottom w:w="0" w:type="dxa"/>
            <w:right w:w="108" w:type="dxa"/>
          </w:tblCellMar>
        </w:tblPrEx>
        <w:trPr>
          <w:trHeight w:val="405" w:hRule="atLeast"/>
          <w:jc w:val="center"/>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bookmarkStart w:id="0" w:name="_GoBack" w:colFirst="1" w:colLast="4"/>
            <w:r>
              <w:rPr>
                <w:rFonts w:hint="eastAsia" w:ascii="仿宋" w:hAnsi="仿宋" w:eastAsia="仿宋" w:cs="宋体"/>
                <w:b/>
                <w:bCs/>
                <w:color w:val="000000"/>
                <w:kern w:val="0"/>
                <w:sz w:val="32"/>
                <w:szCs w:val="32"/>
              </w:rPr>
              <w:t>序号</w:t>
            </w:r>
          </w:p>
        </w:tc>
        <w:tc>
          <w:tcPr>
            <w:tcW w:w="2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b/>
                <w:bCs/>
                <w:color w:val="000000"/>
                <w:kern w:val="0"/>
                <w:sz w:val="32"/>
                <w:szCs w:val="32"/>
              </w:rPr>
            </w:pPr>
            <w:r>
              <w:rPr>
                <w:rFonts w:hint="eastAsia" w:ascii="宋体" w:hAnsi="宋体" w:eastAsia="宋体" w:cs="宋体"/>
                <w:i w:val="0"/>
                <w:color w:val="000000"/>
                <w:kern w:val="0"/>
                <w:sz w:val="22"/>
                <w:szCs w:val="22"/>
                <w:u w:val="none"/>
                <w:lang w:val="en-US" w:eastAsia="zh-CN" w:bidi="ar"/>
              </w:rPr>
              <w:t>专业</w:t>
            </w:r>
          </w:p>
        </w:tc>
        <w:tc>
          <w:tcPr>
            <w:tcW w:w="16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b/>
                <w:bCs/>
                <w:color w:val="000000"/>
                <w:kern w:val="0"/>
                <w:sz w:val="32"/>
                <w:szCs w:val="32"/>
              </w:rPr>
            </w:pPr>
            <w:r>
              <w:rPr>
                <w:rFonts w:hint="eastAsia" w:ascii="宋体" w:hAnsi="宋体" w:eastAsia="宋体" w:cs="宋体"/>
                <w:i w:val="0"/>
                <w:color w:val="000000"/>
                <w:kern w:val="0"/>
                <w:sz w:val="22"/>
                <w:szCs w:val="22"/>
                <w:u w:val="none"/>
                <w:lang w:val="en-US" w:eastAsia="zh-CN" w:bidi="ar"/>
              </w:rPr>
              <w:t>学生姓名</w:t>
            </w:r>
          </w:p>
        </w:tc>
        <w:tc>
          <w:tcPr>
            <w:tcW w:w="13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b/>
                <w:bCs/>
                <w:color w:val="000000"/>
                <w:kern w:val="0"/>
                <w:sz w:val="32"/>
                <w:szCs w:val="32"/>
              </w:rPr>
            </w:pPr>
            <w:r>
              <w:rPr>
                <w:rFonts w:hint="eastAsia" w:ascii="宋体" w:hAnsi="宋体" w:eastAsia="宋体" w:cs="宋体"/>
                <w:i w:val="0"/>
                <w:color w:val="000000"/>
                <w:kern w:val="0"/>
                <w:sz w:val="22"/>
                <w:szCs w:val="22"/>
                <w:u w:val="none"/>
                <w:lang w:val="en-US" w:eastAsia="zh-CN" w:bidi="ar"/>
              </w:rPr>
              <w:t>教师姓名</w:t>
            </w:r>
          </w:p>
        </w:tc>
        <w:tc>
          <w:tcPr>
            <w:tcW w:w="6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宋体"/>
                <w:b/>
                <w:bCs/>
                <w:color w:val="000000"/>
                <w:kern w:val="0"/>
                <w:sz w:val="32"/>
                <w:szCs w:val="32"/>
              </w:rPr>
            </w:pPr>
            <w:r>
              <w:rPr>
                <w:rFonts w:hint="eastAsia" w:ascii="宋体" w:hAnsi="宋体" w:eastAsia="宋体" w:cs="宋体"/>
                <w:i w:val="0"/>
                <w:color w:val="000000"/>
                <w:kern w:val="0"/>
                <w:sz w:val="22"/>
                <w:szCs w:val="22"/>
                <w:u w:val="none"/>
                <w:lang w:val="en-US" w:eastAsia="zh-CN" w:bidi="ar"/>
              </w:rPr>
              <w:t>论文题目</w:t>
            </w:r>
          </w:p>
        </w:tc>
      </w:tr>
      <w:bookmarkEnd w:id="0"/>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信息管理与信息系统</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林志杰</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吴小玲</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针对领域的垂直搜索引擎设计与开发</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生物技术</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李晓苇</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戴建威</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穿心莲内酯抑制肿瘤血管新生机理探究</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医学检验</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罗美群</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周珍文</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耐甲氧西林金黄色葡萄球菌儿童分离株的耐药性及多重耐药外排泵基因的研究</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医学检验</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周永焯</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郭旭光</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实时荧光逆转录环介导恒温扩增检测寨卡病毒方法的建立</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生物医学工程</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张钰坤</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 xml:space="preserve">阳范文 </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PE/碳纳米管自控温医用材料的研究与应用</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6</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统计学</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邝家泳</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王宁宁</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我国空巢与非空巢老人生理与心理健康差异</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7</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药学</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文华颖</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周毅</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叶酸受体和线粒体双靶向共聚物的合成与制备</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8</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预防医学</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陈海芹</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杨萍</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BOK基因在镉致16HBE细胞损伤中的作用</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9</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法学</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李依虹</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 xml:space="preserve">徐喜荣 </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跨国代孕法律规制研究---以亲子关系的认定为中心</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10</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公共事业管理</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 xml:space="preserve">张锦秀 </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 xml:space="preserve">罗桢妮 </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基于技术接受模型的医护人员移动医疗使用状况及意愿研究——以广州市三甲医院为例</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11</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市场营销</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陈敏华</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廖成娟</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心流对在线重复购买意向的影响研究：品牌信任的中介作用</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12</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应用心理学</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梁永超</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张雪琴</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国内外感觉统合训练对自闭症儿童干预效果的系统评价</w:t>
            </w:r>
          </w:p>
        </w:tc>
      </w:tr>
      <w:tr>
        <w:tblPrEx>
          <w:tblLayout w:type="fixed"/>
          <w:tblCellMar>
            <w:top w:w="0" w:type="dxa"/>
            <w:left w:w="108" w:type="dxa"/>
            <w:bottom w:w="0" w:type="dxa"/>
            <w:right w:w="108" w:type="dxa"/>
          </w:tblCellMar>
        </w:tblPrEx>
        <w:trPr>
          <w:trHeight w:val="270" w:hRule="atLeast"/>
          <w:jc w:val="center"/>
        </w:trPr>
        <w:tc>
          <w:tcPr>
            <w:tcW w:w="11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13</w:t>
            </w:r>
          </w:p>
        </w:tc>
        <w:tc>
          <w:tcPr>
            <w:tcW w:w="23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食品质量与安全</w:t>
            </w:r>
          </w:p>
        </w:tc>
        <w:tc>
          <w:tcPr>
            <w:tcW w:w="16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陈明秀</w:t>
            </w:r>
          </w:p>
        </w:tc>
        <w:tc>
          <w:tcPr>
            <w:tcW w:w="13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陈雪香</w:t>
            </w:r>
          </w:p>
        </w:tc>
        <w:tc>
          <w:tcPr>
            <w:tcW w:w="6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宋体"/>
                <w:color w:val="000000"/>
                <w:kern w:val="0"/>
                <w:sz w:val="32"/>
                <w:szCs w:val="32"/>
              </w:rPr>
            </w:pPr>
            <w:r>
              <w:rPr>
                <w:rFonts w:hint="eastAsia" w:ascii="宋体" w:hAnsi="宋体" w:eastAsia="宋体" w:cs="宋体"/>
                <w:i w:val="0"/>
                <w:color w:val="000000"/>
                <w:kern w:val="0"/>
                <w:sz w:val="22"/>
                <w:szCs w:val="22"/>
                <w:u w:val="none"/>
                <w:lang w:val="en-US" w:eastAsia="zh-CN" w:bidi="ar"/>
              </w:rPr>
              <w:t>响应面法优化超临界流体萃取辣木籽油工艺</w:t>
            </w:r>
          </w:p>
        </w:tc>
      </w:tr>
    </w:tbl>
    <w:p>
      <w:pPr>
        <w:rPr>
          <w:rFonts w:ascii="仿宋" w:hAnsi="仿宋" w:eastAsia="仿宋"/>
          <w:sz w:val="32"/>
          <w:szCs w:val="32"/>
        </w:rPr>
      </w:pPr>
    </w:p>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5D30"/>
    <w:rsid w:val="00495BB7"/>
    <w:rsid w:val="006F348A"/>
    <w:rsid w:val="00762BB7"/>
    <w:rsid w:val="00835D30"/>
    <w:rsid w:val="00A76149"/>
    <w:rsid w:val="00BF1E2D"/>
    <w:rsid w:val="00C47218"/>
    <w:rsid w:val="00C47393"/>
    <w:rsid w:val="00E14CE3"/>
    <w:rsid w:val="1C9600D9"/>
    <w:rsid w:val="3D2978EB"/>
    <w:rsid w:val="7ABD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483</Characters>
  <Lines>4</Lines>
  <Paragraphs>1</Paragraphs>
  <ScaleCrop>false</ScaleCrop>
  <LinksUpToDate>false</LinksUpToDate>
  <CharactersWithSpaces>566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2016-04-01T02:59:00Z</dcterms:created>
  <dc:creator>熊卓</dc:creator>
  <cp:lastModifiedBy>腾 /微笑 爱</cp:lastModifiedBy>
  <dcterms:modified xsi:type="dcterms:W3CDTF">2017-12-27T03:38:17Z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